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53C8D" w14:textId="49556E65" w:rsidR="009405B8" w:rsidRDefault="009405B8" w:rsidP="009E63E1">
      <w:pPr>
        <w:pStyle w:val="Autor"/>
        <w:rPr>
          <w:rFonts w:ascii="Arial" w:hAnsi="Arial"/>
        </w:rPr>
      </w:pPr>
      <w:r>
        <w:t>Autor</w:t>
      </w:r>
      <w:r w:rsidR="00164ACE">
        <w:t xml:space="preserve"> </w:t>
      </w:r>
      <w:r w:rsidR="006060AB">
        <w:t>X</w:t>
      </w:r>
      <w:r>
        <w:rPr>
          <w:rStyle w:val="FootnoteReference"/>
        </w:rPr>
        <w:footnoteReference w:customMarkFollows="1" w:id="1"/>
        <w:sym w:font="Symbol" w:char="F02A"/>
      </w:r>
      <w:r w:rsidR="00164ACE">
        <w:t xml:space="preserve"> / </w:t>
      </w:r>
      <w:r w:rsidR="00164ACE" w:rsidRPr="00164ACE">
        <w:rPr>
          <w:bCs/>
        </w:rPr>
        <w:t xml:space="preserve">Autor </w:t>
      </w:r>
      <w:r w:rsidR="006060AB">
        <w:rPr>
          <w:bCs/>
        </w:rPr>
        <w:t>Y</w:t>
      </w:r>
      <w:r w:rsidR="00164ACE" w:rsidRPr="00164ACE">
        <w:rPr>
          <w:rStyle w:val="FootnoteReference"/>
        </w:rPr>
        <w:footnoteReference w:customMarkFollows="1" w:id="2"/>
        <w:sym w:font="Symbol" w:char="F02A"/>
      </w:r>
      <w:r w:rsidR="00164ACE" w:rsidRPr="00164ACE">
        <w:rPr>
          <w:rStyle w:val="FootnoteReference"/>
        </w:rPr>
        <w:footnoteReference w:customMarkFollows="1" w:id="3"/>
        <w:sym w:font="Symbol" w:char="F02A"/>
      </w:r>
    </w:p>
    <w:p w14:paraId="6F136FBF" w14:textId="77777777" w:rsidR="009405B8" w:rsidRDefault="009405B8" w:rsidP="002F2CEA">
      <w:pPr>
        <w:pStyle w:val="TitelBeitrag"/>
      </w:pPr>
      <w:r>
        <w:t xml:space="preserve">Verantwortlichkeit des Verwaltungsrats </w:t>
      </w:r>
    </w:p>
    <w:p w14:paraId="57B2E2B4" w14:textId="77777777" w:rsidR="009405B8" w:rsidRPr="00521323" w:rsidRDefault="009405B8" w:rsidP="00521323">
      <w:pPr>
        <w:rPr>
          <w:b/>
          <w:bCs/>
        </w:rPr>
      </w:pPr>
      <w:r w:rsidRPr="00521323">
        <w:rPr>
          <w:b/>
          <w:bCs/>
        </w:rPr>
        <w:t>Besprechung des Urteils 6B_209 / 2007 des schweizerischen Bundesgerichts vom 22. Februar 2008</w:t>
      </w:r>
    </w:p>
    <w:p w14:paraId="04AFF806" w14:textId="77777777" w:rsidR="009405B8" w:rsidRDefault="009405B8">
      <w:pPr>
        <w:rPr>
          <w:rFonts w:ascii="Arial" w:hAnsi="Arial"/>
          <w:b/>
        </w:rPr>
      </w:pPr>
    </w:p>
    <w:p w14:paraId="6DCAAF7B" w14:textId="77777777" w:rsidR="009405B8" w:rsidRDefault="009405B8">
      <w:pPr>
        <w:rPr>
          <w:rFonts w:ascii="Arial" w:hAnsi="Arial"/>
          <w:b/>
        </w:rPr>
      </w:pPr>
    </w:p>
    <w:p w14:paraId="13BAEF75" w14:textId="77777777" w:rsidR="009405B8" w:rsidRDefault="009405B8" w:rsidP="00784E9A">
      <w:pPr>
        <w:pStyle w:val="Inhaltsbersicht"/>
      </w:pPr>
      <w:r>
        <w:t>Inhaltsübersicht</w:t>
      </w:r>
      <w:r>
        <w:rPr>
          <w:rStyle w:val="FootnoteReference"/>
        </w:rPr>
        <w:footnoteReference w:id="4"/>
      </w:r>
    </w:p>
    <w:p w14:paraId="49EB30B5" w14:textId="1D4E311B" w:rsidR="00521323" w:rsidRDefault="00521323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fldChar w:fldCharType="begin"/>
      </w:r>
      <w:r>
        <w:instrText xml:space="preserve"> TOC \o "1-5" </w:instrText>
      </w:r>
      <w:r>
        <w:fldChar w:fldCharType="separate"/>
      </w:r>
      <w:r>
        <w:rPr>
          <w:noProof/>
        </w:rPr>
        <w:t>I.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Sachverhalt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_Toc175560141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B85AE8" w14:textId="19B8E8A9" w:rsidR="00521323" w:rsidRDefault="00521323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II.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Erw</w:t>
      </w:r>
      <w:r>
        <w:rPr>
          <w:rFonts w:hint="eastAsia"/>
          <w:noProof/>
        </w:rPr>
        <w:t>ä</w:t>
      </w:r>
      <w:r>
        <w:rPr>
          <w:noProof/>
        </w:rPr>
        <w:t>gungen und Entscheid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_Toc175560142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84573D" w14:textId="7A6E5F43" w:rsidR="00521323" w:rsidRDefault="00521323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III.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Erl</w:t>
      </w:r>
      <w:r>
        <w:rPr>
          <w:rFonts w:hint="eastAsia"/>
          <w:noProof/>
        </w:rPr>
        <w:t>ä</w:t>
      </w:r>
      <w:r>
        <w:rPr>
          <w:noProof/>
        </w:rPr>
        <w:t>uterungen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_Toc175560143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139AA6" w14:textId="417D9464" w:rsidR="00521323" w:rsidRDefault="00521323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IV.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Bedeutung f</w:t>
      </w:r>
      <w:r>
        <w:rPr>
          <w:rFonts w:hint="eastAsia"/>
          <w:noProof/>
        </w:rPr>
        <w:t>ü</w:t>
      </w:r>
      <w:r>
        <w:rPr>
          <w:noProof/>
        </w:rPr>
        <w:t>r die Praxis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_Toc175560144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20A3D3" w14:textId="0512BA9D" w:rsidR="00521323" w:rsidRDefault="0052132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_Toc175560145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339C778" w14:textId="434B009B" w:rsidR="00521323" w:rsidRDefault="00521323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_Toc175560146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A61D0F" w14:textId="3D818AEF" w:rsidR="00521323" w:rsidRDefault="00521323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a.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_Toc175560147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B5B9D2" w14:textId="790A7265" w:rsidR="00521323" w:rsidRDefault="00521323">
      <w:pPr>
        <w:pStyle w:val="TOC5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aa.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_Toc175560148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608974" w14:textId="33A659F3" w:rsidR="009405B8" w:rsidRDefault="00521323">
      <w:pPr>
        <w:rPr>
          <w:rFonts w:ascii="Arial" w:hAnsi="Arial"/>
          <w:b/>
          <w:sz w:val="18"/>
        </w:rPr>
      </w:pPr>
      <w:r>
        <w:rPr>
          <w:sz w:val="18"/>
        </w:rPr>
        <w:fldChar w:fldCharType="end"/>
      </w:r>
    </w:p>
    <w:p w14:paraId="5685F48A" w14:textId="77777777" w:rsidR="009405B8" w:rsidRDefault="009405B8" w:rsidP="00784E9A">
      <w:pPr>
        <w:pStyle w:val="Inhaltsbersicht"/>
        <w:rPr>
          <w:rFonts w:ascii="Arial" w:hAnsi="Arial"/>
        </w:rPr>
      </w:pPr>
      <w:r>
        <w:t>Kernsätze</w:t>
      </w:r>
      <w:r>
        <w:rPr>
          <w:rStyle w:val="FootnoteReference"/>
        </w:rPr>
        <w:footnoteReference w:id="5"/>
      </w:r>
    </w:p>
    <w:p w14:paraId="6C034452" w14:textId="77777777" w:rsidR="009405B8" w:rsidRDefault="009405B8" w:rsidP="009E63E1">
      <w:r>
        <w:t>1. Kernsatz</w:t>
      </w:r>
    </w:p>
    <w:p w14:paraId="5460F719" w14:textId="77777777" w:rsidR="009405B8" w:rsidRDefault="009405B8" w:rsidP="009E63E1">
      <w:r>
        <w:t>2. Kernsatz</w:t>
      </w:r>
    </w:p>
    <w:p w14:paraId="26F456EC" w14:textId="77777777" w:rsidR="009405B8" w:rsidRDefault="009405B8" w:rsidP="009E63E1">
      <w:r>
        <w:t>3. Kernsatz</w:t>
      </w:r>
    </w:p>
    <w:p w14:paraId="06B7513D" w14:textId="77777777" w:rsidR="009405B8" w:rsidRDefault="009405B8">
      <w:pPr>
        <w:pStyle w:val="Heading1"/>
      </w:pPr>
      <w:bookmarkStart w:id="0" w:name="_Toc175560141"/>
      <w:r>
        <w:t>Sachverhalt</w:t>
      </w:r>
      <w:bookmarkEnd w:id="0"/>
    </w:p>
    <w:p w14:paraId="41B438CC" w14:textId="77777777" w:rsidR="009405B8" w:rsidRDefault="009405B8" w:rsidP="009E63E1">
      <w:r>
        <w:t>Kurze Darlegung des Sachverhalts.</w:t>
      </w:r>
    </w:p>
    <w:p w14:paraId="39F3C752" w14:textId="77777777" w:rsidR="009405B8" w:rsidRDefault="009405B8" w:rsidP="009E63E1">
      <w:r>
        <w:t>Bei der Bezeichnung der Parteien ist die tatsächliche oder gerichtlich anonymisierte Bezeichnung zu verwenden und nicht die Prozessrolle (wie Beschwerdeführer, Beschwerdegegner o.ä.).</w:t>
      </w:r>
    </w:p>
    <w:p w14:paraId="58326D21" w14:textId="77777777" w:rsidR="009405B8" w:rsidRDefault="009405B8">
      <w:pPr>
        <w:pStyle w:val="Heading1"/>
      </w:pPr>
      <w:bookmarkStart w:id="1" w:name="_Toc175560142"/>
      <w:r>
        <w:t>Erwägungen und Entscheid</w:t>
      </w:r>
      <w:bookmarkEnd w:id="1"/>
    </w:p>
    <w:p w14:paraId="21916AC0" w14:textId="77777777" w:rsidR="009405B8" w:rsidRDefault="009405B8" w:rsidP="009E63E1">
      <w:r>
        <w:t>Beschreibung der wichtigsten Erwägungen und des Entscheids des Gerichts.</w:t>
      </w:r>
    </w:p>
    <w:p w14:paraId="62B90078" w14:textId="77777777" w:rsidR="009405B8" w:rsidRDefault="009405B8" w:rsidP="009E63E1">
      <w:r>
        <w:t>Die Standpunkte der Vorinstanzen und der Parteien sind möglichst knapp darzustellen, es sei denn, sie seien für das Verständnis der Ausführungen des Bundesgerichts wichtig.</w:t>
      </w:r>
    </w:p>
    <w:p w14:paraId="6E53E8B0" w14:textId="77777777" w:rsidR="009405B8" w:rsidRDefault="009405B8">
      <w:pPr>
        <w:pStyle w:val="Heading1"/>
      </w:pPr>
      <w:bookmarkStart w:id="2" w:name="_Toc175560143"/>
      <w:r>
        <w:t>Erläuterungen</w:t>
      </w:r>
      <w:bookmarkEnd w:id="2"/>
    </w:p>
    <w:p w14:paraId="241293C3" w14:textId="77777777" w:rsidR="009405B8" w:rsidRDefault="009405B8" w:rsidP="009E63E1">
      <w:r>
        <w:t>Kurze Erläuterungen zu den Erwägungen des Bundesgerichts.</w:t>
      </w:r>
    </w:p>
    <w:p w14:paraId="77BB6200" w14:textId="77777777" w:rsidR="009405B8" w:rsidRDefault="009405B8">
      <w:pPr>
        <w:pStyle w:val="Heading1"/>
      </w:pPr>
      <w:bookmarkStart w:id="3" w:name="_Toc175560144"/>
      <w:r>
        <w:lastRenderedPageBreak/>
        <w:t>Bedeutung für die Praxis</w:t>
      </w:r>
      <w:bookmarkEnd w:id="3"/>
    </w:p>
    <w:p w14:paraId="6AAB82BF" w14:textId="77777777" w:rsidR="009405B8" w:rsidRDefault="009405B8" w:rsidP="009E63E1">
      <w:r>
        <w:t xml:space="preserve">Hier sollen auf möglichst kurze und prägnante Weise die Auswirkungen des Entscheids für die Praxis besprochen werden. Anders als bei herkömmlichen </w:t>
      </w:r>
      <w:proofErr w:type="spellStart"/>
      <w:r>
        <w:t>Entscheidbesprechungen</w:t>
      </w:r>
      <w:proofErr w:type="spellEnd"/>
      <w:r>
        <w:t xml:space="preserve"> steht nicht die Kritik am Entscheid im Vordergrund, sondern die praktische Bedeutung für Juristinnen und Juristen.</w:t>
      </w:r>
    </w:p>
    <w:p w14:paraId="50C3D731" w14:textId="77777777" w:rsidR="009405B8" w:rsidRDefault="009405B8">
      <w:pPr>
        <w:pStyle w:val="Heading2"/>
      </w:pPr>
      <w:bookmarkStart w:id="4" w:name="_Toc14149992"/>
      <w:bookmarkStart w:id="5" w:name="_Toc175560145"/>
      <w:r>
        <w:t>Titel</w:t>
      </w:r>
      <w:bookmarkEnd w:id="4"/>
      <w:bookmarkEnd w:id="5"/>
    </w:p>
    <w:p w14:paraId="04234BAB" w14:textId="77777777" w:rsidR="009405B8" w:rsidRDefault="009405B8">
      <w:pPr>
        <w:pStyle w:val="Heading3"/>
      </w:pPr>
      <w:bookmarkStart w:id="6" w:name="_Toc14149993"/>
      <w:bookmarkStart w:id="7" w:name="_Toc175560146"/>
      <w:r>
        <w:t>Titel</w:t>
      </w:r>
      <w:bookmarkEnd w:id="6"/>
      <w:bookmarkEnd w:id="7"/>
    </w:p>
    <w:p w14:paraId="591AA2EE" w14:textId="77777777" w:rsidR="009405B8" w:rsidRDefault="009405B8">
      <w:pPr>
        <w:pStyle w:val="Heading4"/>
      </w:pPr>
      <w:bookmarkStart w:id="8" w:name="_Toc14149994"/>
      <w:bookmarkStart w:id="9" w:name="_Toc175560147"/>
      <w:r>
        <w:t>Titel</w:t>
      </w:r>
      <w:bookmarkEnd w:id="8"/>
      <w:bookmarkEnd w:id="9"/>
    </w:p>
    <w:p w14:paraId="6DE96D0F" w14:textId="77777777" w:rsidR="009405B8" w:rsidRDefault="009405B8">
      <w:pPr>
        <w:pStyle w:val="Heading5"/>
      </w:pPr>
      <w:bookmarkStart w:id="10" w:name="_Toc14149995"/>
      <w:bookmarkStart w:id="11" w:name="_Toc175560148"/>
      <w:r>
        <w:t>Titel</w:t>
      </w:r>
      <w:bookmarkEnd w:id="10"/>
      <w:bookmarkEnd w:id="11"/>
    </w:p>
    <w:p w14:paraId="2F09C82B" w14:textId="77777777" w:rsidR="009405B8" w:rsidRDefault="009405B8" w:rsidP="002F2CEA">
      <w:pPr>
        <w:pStyle w:val="Aufzhlungen"/>
      </w:pPr>
      <w:r>
        <w:t>Aufzählungen</w:t>
      </w:r>
    </w:p>
    <w:p w14:paraId="2550ECDE" w14:textId="77777777" w:rsidR="009405B8" w:rsidRDefault="009405B8">
      <w:pPr>
        <w:pStyle w:val="Header"/>
        <w:tabs>
          <w:tab w:val="clear" w:pos="4153"/>
          <w:tab w:val="clear" w:pos="8306"/>
        </w:tabs>
      </w:pPr>
    </w:p>
    <w:sectPr w:rsidR="009405B8">
      <w:footerReference w:type="default" r:id="rId8"/>
      <w:pgSz w:w="11900" w:h="16840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E8F32" w14:textId="77777777" w:rsidR="00794D98" w:rsidRDefault="00794D98">
      <w:r>
        <w:separator/>
      </w:r>
    </w:p>
  </w:endnote>
  <w:endnote w:type="continuationSeparator" w:id="0">
    <w:p w14:paraId="71E7D16A" w14:textId="77777777" w:rsidR="00794D98" w:rsidRDefault="0079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98FB1" w14:textId="77777777" w:rsidR="009405B8" w:rsidRDefault="009405B8">
    <w:pPr>
      <w:pStyle w:val="Footer"/>
      <w:tabs>
        <w:tab w:val="clear" w:pos="8306"/>
        <w:tab w:val="right" w:pos="9072"/>
      </w:tabs>
      <w:rPr>
        <w:sz w:val="20"/>
      </w:rPr>
    </w:pPr>
    <w:r>
      <w:tab/>
    </w:r>
    <w: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6624" w14:textId="77777777" w:rsidR="00794D98" w:rsidRDefault="00794D98">
      <w:r>
        <w:separator/>
      </w:r>
    </w:p>
  </w:footnote>
  <w:footnote w:type="continuationSeparator" w:id="0">
    <w:p w14:paraId="29210FAA" w14:textId="77777777" w:rsidR="00794D98" w:rsidRDefault="00794D98">
      <w:r>
        <w:continuationSeparator/>
      </w:r>
    </w:p>
  </w:footnote>
  <w:footnote w:id="1">
    <w:p w14:paraId="12BC379F" w14:textId="4C1AD5E8" w:rsidR="009405B8" w:rsidRDefault="009405B8">
      <w:pPr>
        <w:pStyle w:val="FootnoteText"/>
      </w:pPr>
      <w:r>
        <w:rPr>
          <w:rStyle w:val="FootnoteReference"/>
        </w:rPr>
        <w:sym w:font="Symbol" w:char="F02A"/>
      </w:r>
      <w:r>
        <w:tab/>
      </w:r>
      <w:r w:rsidR="009E63E1">
        <w:t xml:space="preserve">Titel </w:t>
      </w:r>
      <w:r w:rsidR="009E63E1">
        <w:rPr>
          <w:rStyle w:val="AutorFussnoten"/>
        </w:rPr>
        <w:t>Vorname Name</w:t>
      </w:r>
      <w:r w:rsidR="00F801E4">
        <w:rPr>
          <w:rStyle w:val="AutorFussnoten"/>
        </w:rPr>
        <w:t>,</w:t>
      </w:r>
      <w:r w:rsidR="007D21C4">
        <w:t xml:space="preserve"> [Autoreninformationen]</w:t>
      </w:r>
      <w:r w:rsidR="00AF2DE0">
        <w:t>.</w:t>
      </w:r>
      <w:r>
        <w:t xml:space="preserve"> </w:t>
      </w:r>
    </w:p>
  </w:footnote>
  <w:footnote w:id="2">
    <w:p w14:paraId="59AE9784" w14:textId="3C8D0B1C" w:rsidR="00164ACE" w:rsidRDefault="00164ACE" w:rsidP="00164ACE">
      <w:pPr>
        <w:pStyle w:val="FootnoteText"/>
      </w:pPr>
      <w:r>
        <w:rPr>
          <w:rStyle w:val="FootnoteReference"/>
        </w:rPr>
        <w:sym w:font="Symbol" w:char="F02A"/>
      </w:r>
      <w:r>
        <w:rPr>
          <w:rStyle w:val="FootnoteReference"/>
        </w:rPr>
        <w:sym w:font="Symbol" w:char="F02A"/>
      </w:r>
      <w:r>
        <w:tab/>
      </w:r>
      <w:r w:rsidR="009E63E1">
        <w:t xml:space="preserve">Titel </w:t>
      </w:r>
      <w:r w:rsidR="009E63E1">
        <w:rPr>
          <w:rStyle w:val="AutorFussnoten"/>
        </w:rPr>
        <w:t>Vorname Name</w:t>
      </w:r>
      <w:r w:rsidR="009E63E1">
        <w:t xml:space="preserve">, </w:t>
      </w:r>
      <w:r w:rsidR="00F801E4">
        <w:t>[Autoreninformationen]</w:t>
      </w:r>
      <w:r w:rsidR="00AF2DE0">
        <w:t>.</w:t>
      </w:r>
    </w:p>
  </w:footnote>
  <w:footnote w:id="3">
    <w:p w14:paraId="19F78B1B" w14:textId="77777777" w:rsidR="00164ACE" w:rsidRDefault="00164ACE" w:rsidP="00164ACE">
      <w:pPr>
        <w:pStyle w:val="FootnoteText"/>
      </w:pPr>
    </w:p>
  </w:footnote>
  <w:footnote w:id="4">
    <w:p w14:paraId="48A050B7" w14:textId="34459815" w:rsidR="009405B8" w:rsidRDefault="009405B8">
      <w:pPr>
        <w:pStyle w:val="FootnoteText"/>
      </w:pPr>
      <w:r>
        <w:rPr>
          <w:rStyle w:val="FootnoteReference"/>
        </w:rPr>
        <w:footnoteRef/>
      </w:r>
      <w:r>
        <w:tab/>
        <w:t xml:space="preserve">Die vorliegende Word-Vorlage ist Formatvorlage und Standarddisposition von formalisierten </w:t>
      </w:r>
      <w:proofErr w:type="spellStart"/>
      <w:r>
        <w:t>GesKR-Entscheidbesprechungen</w:t>
      </w:r>
      <w:proofErr w:type="spellEnd"/>
      <w:r>
        <w:t xml:space="preserve"> zugleich. Abweichungen von der Standarddisposition sind im Einzelfall selbstverständlich möglich. </w:t>
      </w:r>
      <w:r w:rsidR="00E44B8F" w:rsidRPr="00E44B8F">
        <w:t xml:space="preserve">Umfangmässig sollten sich </w:t>
      </w:r>
      <w:proofErr w:type="spellStart"/>
      <w:r w:rsidR="00E44B8F" w:rsidRPr="00E44B8F">
        <w:t>Entscheidbesprechungen</w:t>
      </w:r>
      <w:proofErr w:type="spellEnd"/>
      <w:r w:rsidR="00E44B8F" w:rsidRPr="00E44B8F">
        <w:t xml:space="preserve"> im Bereich von 2 bis 15 Word-Seiten bewegen.</w:t>
      </w:r>
    </w:p>
  </w:footnote>
  <w:footnote w:id="5">
    <w:p w14:paraId="49456861" w14:textId="77777777" w:rsidR="009405B8" w:rsidRDefault="009405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Kernaussagen der Entscheidung, vergleichbar den in der Amtlichen Sammlung den Bundesgerichtsentscheiden vorangestellten Regesten. Max. 400 Zeichen (inkl. Leerzeichen).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6687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D0C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4C5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DE8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884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5CE0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08C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F65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7EE1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08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63AB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B45BC"/>
    <w:multiLevelType w:val="multilevel"/>
    <w:tmpl w:val="4F1411C2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5F65073"/>
    <w:multiLevelType w:val="multilevel"/>
    <w:tmpl w:val="4492EA2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300C9"/>
    <w:multiLevelType w:val="multilevel"/>
    <w:tmpl w:val="CB40E3B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D083729"/>
    <w:multiLevelType w:val="multilevel"/>
    <w:tmpl w:val="DA6840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CFD7AFB"/>
    <w:multiLevelType w:val="multilevel"/>
    <w:tmpl w:val="7D988C8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10693A"/>
    <w:multiLevelType w:val="multilevel"/>
    <w:tmpl w:val="9F983942"/>
    <w:lvl w:ilvl="0">
      <w:start w:val="1"/>
      <w:numFmt w:val="upperRoman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Heading5"/>
      <w:lvlText w:val="%4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3170BE5"/>
    <w:multiLevelType w:val="hybridMultilevel"/>
    <w:tmpl w:val="F3AE1BA4"/>
    <w:lvl w:ilvl="0" w:tplc="D4DE31B8">
      <w:start w:val="1"/>
      <w:numFmt w:val="bullet"/>
      <w:pStyle w:val="Aufzhlung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B21B2"/>
    <w:multiLevelType w:val="multilevel"/>
    <w:tmpl w:val="774C216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0D34A42"/>
    <w:multiLevelType w:val="multilevel"/>
    <w:tmpl w:val="2152C72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E1866"/>
    <w:multiLevelType w:val="multilevel"/>
    <w:tmpl w:val="00E6BAF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92533305">
    <w:abstractNumId w:val="10"/>
  </w:num>
  <w:num w:numId="2" w16cid:durableId="788280957">
    <w:abstractNumId w:val="8"/>
  </w:num>
  <w:num w:numId="3" w16cid:durableId="464127926">
    <w:abstractNumId w:val="9"/>
  </w:num>
  <w:num w:numId="4" w16cid:durableId="449279081">
    <w:abstractNumId w:val="4"/>
  </w:num>
  <w:num w:numId="5" w16cid:durableId="1987392713">
    <w:abstractNumId w:val="3"/>
  </w:num>
  <w:num w:numId="6" w16cid:durableId="2067683079">
    <w:abstractNumId w:val="2"/>
  </w:num>
  <w:num w:numId="7" w16cid:durableId="950740522">
    <w:abstractNumId w:val="0"/>
  </w:num>
  <w:num w:numId="8" w16cid:durableId="864710212">
    <w:abstractNumId w:val="7"/>
  </w:num>
  <w:num w:numId="9" w16cid:durableId="940450183">
    <w:abstractNumId w:val="6"/>
  </w:num>
  <w:num w:numId="10" w16cid:durableId="1453134320">
    <w:abstractNumId w:val="1"/>
  </w:num>
  <w:num w:numId="11" w16cid:durableId="1622032474">
    <w:abstractNumId w:val="17"/>
  </w:num>
  <w:num w:numId="12" w16cid:durableId="1426462921">
    <w:abstractNumId w:val="19"/>
  </w:num>
  <w:num w:numId="13" w16cid:durableId="1260526388">
    <w:abstractNumId w:val="12"/>
  </w:num>
  <w:num w:numId="14" w16cid:durableId="2116711887">
    <w:abstractNumId w:val="16"/>
  </w:num>
  <w:num w:numId="15" w16cid:durableId="108085315">
    <w:abstractNumId w:val="11"/>
  </w:num>
  <w:num w:numId="16" w16cid:durableId="333186338">
    <w:abstractNumId w:val="20"/>
  </w:num>
  <w:num w:numId="17" w16cid:durableId="2070763746">
    <w:abstractNumId w:val="18"/>
  </w:num>
  <w:num w:numId="18" w16cid:durableId="365300893">
    <w:abstractNumId w:val="14"/>
  </w:num>
  <w:num w:numId="19" w16cid:durableId="1300646924">
    <w:abstractNumId w:val="13"/>
  </w:num>
  <w:num w:numId="20" w16cid:durableId="154566087">
    <w:abstractNumId w:val="5"/>
  </w:num>
  <w:num w:numId="21" w16cid:durableId="319697998">
    <w:abstractNumId w:val="15"/>
  </w:num>
  <w:num w:numId="22" w16cid:durableId="464394840">
    <w:abstractNumId w:val="17"/>
  </w:num>
  <w:num w:numId="23" w16cid:durableId="1786927553">
    <w:abstractNumId w:val="17"/>
  </w:num>
  <w:num w:numId="24" w16cid:durableId="12419823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CE"/>
    <w:rsid w:val="000074E5"/>
    <w:rsid w:val="000D4CE5"/>
    <w:rsid w:val="00164ACE"/>
    <w:rsid w:val="003C223D"/>
    <w:rsid w:val="004C622C"/>
    <w:rsid w:val="00521323"/>
    <w:rsid w:val="006060AB"/>
    <w:rsid w:val="007702BC"/>
    <w:rsid w:val="00794D98"/>
    <w:rsid w:val="007D21C4"/>
    <w:rsid w:val="0082434D"/>
    <w:rsid w:val="009405B8"/>
    <w:rsid w:val="009E63E1"/>
    <w:rsid w:val="00AF2DE0"/>
    <w:rsid w:val="00E44B8F"/>
    <w:rsid w:val="00F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657C12"/>
  <w15:chartTrackingRefBased/>
  <w15:docId w15:val="{EBE97AF7-6689-43FD-9C8C-E1EE654A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E5"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4"/>
      </w:numPr>
      <w:spacing w:before="600" w:after="30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4"/>
      </w:numPr>
      <w:spacing w:before="500" w:after="240"/>
      <w:outlineLvl w:val="1"/>
    </w:pPr>
    <w:rPr>
      <w:b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4"/>
      </w:numPr>
      <w:spacing w:before="400" w:after="200"/>
      <w:outlineLvl w:val="2"/>
    </w:pPr>
    <w:rPr>
      <w:b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4"/>
      </w:numPr>
      <w:spacing w:before="300" w:after="1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4"/>
      </w:numPr>
      <w:spacing w:before="200" w:after="60"/>
      <w:outlineLvl w:val="4"/>
    </w:pPr>
    <w:rPr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en">
    <w:name w:val="Aufzählungen"/>
    <w:basedOn w:val="Normal"/>
    <w:pPr>
      <w:numPr>
        <w:numId w:val="11"/>
      </w:numPr>
    </w:pPr>
  </w:style>
  <w:style w:type="paragraph" w:customStyle="1" w:styleId="TitelBeitrag">
    <w:name w:val="Titel Beitrag"/>
    <w:basedOn w:val="Normal"/>
    <w:rsid w:val="009E63E1"/>
    <w:pPr>
      <w:spacing w:before="240"/>
    </w:pPr>
    <w:rPr>
      <w:b/>
      <w:sz w:val="44"/>
    </w:rPr>
  </w:style>
  <w:style w:type="paragraph" w:styleId="Subtitle">
    <w:name w:val="Subtitle"/>
    <w:basedOn w:val="Normal"/>
    <w:qFormat/>
    <w:pPr>
      <w:spacing w:before="100" w:after="60"/>
      <w:outlineLvl w:val="1"/>
    </w:pPr>
    <w:rPr>
      <w:b/>
      <w:sz w:val="28"/>
    </w:rPr>
  </w:style>
  <w:style w:type="paragraph" w:styleId="FootnoteText">
    <w:name w:val="footnote text"/>
    <w:basedOn w:val="Normal"/>
    <w:semiHidden/>
    <w:pPr>
      <w:tabs>
        <w:tab w:val="left" w:pos="284"/>
      </w:tabs>
      <w:jc w:val="both"/>
    </w:pPr>
    <w:rPr>
      <w:sz w:val="20"/>
    </w:rPr>
  </w:style>
  <w:style w:type="character" w:styleId="FootnoteReference">
    <w:name w:val="footnote reference"/>
    <w:semiHidden/>
    <w:rPr>
      <w:rFonts w:ascii="Times New Roman" w:hAnsi="Times New Roman"/>
      <w:vertAlign w:val="superscript"/>
    </w:rPr>
  </w:style>
  <w:style w:type="character" w:customStyle="1" w:styleId="AutorFussnoten">
    <w:name w:val="Autor Fussnoten"/>
    <w:rPr>
      <w:rFonts w:ascii="Times New Roman" w:hAnsi="Times New Roman"/>
      <w:smallCaps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380"/>
        <w:tab w:val="right" w:leader="dot" w:pos="9056"/>
      </w:tabs>
    </w:pPr>
    <w:rPr>
      <w:b/>
      <w:sz w:val="18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660"/>
        <w:tab w:val="right" w:leader="dot" w:pos="9056"/>
      </w:tabs>
      <w:ind w:left="380"/>
    </w:pPr>
    <w:rPr>
      <w:b/>
      <w:sz w:val="18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1020"/>
        <w:tab w:val="right" w:leader="dot" w:pos="9056"/>
      </w:tabs>
      <w:ind w:left="658"/>
    </w:pPr>
    <w:rPr>
      <w:b/>
      <w:sz w:val="18"/>
    </w:rPr>
  </w:style>
  <w:style w:type="paragraph" w:styleId="TOC4">
    <w:name w:val="toc 4"/>
    <w:basedOn w:val="Normal"/>
    <w:next w:val="Normal"/>
    <w:autoRedefine/>
    <w:uiPriority w:val="39"/>
    <w:pPr>
      <w:tabs>
        <w:tab w:val="left" w:pos="1304"/>
        <w:tab w:val="right" w:leader="dot" w:pos="9056"/>
      </w:tabs>
      <w:ind w:left="1021"/>
    </w:pPr>
    <w:rPr>
      <w:b/>
      <w:sz w:val="18"/>
    </w:rPr>
  </w:style>
  <w:style w:type="paragraph" w:styleId="TOC5">
    <w:name w:val="toc 5"/>
    <w:basedOn w:val="Normal"/>
    <w:next w:val="Normal"/>
    <w:autoRedefine/>
    <w:uiPriority w:val="39"/>
    <w:pPr>
      <w:tabs>
        <w:tab w:val="left" w:pos="1701"/>
        <w:tab w:val="right" w:leader="dot" w:pos="9056"/>
      </w:tabs>
      <w:ind w:left="1304"/>
    </w:pPr>
    <w:rPr>
      <w:b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haltsbersicht">
    <w:name w:val="Inhaltsübersicht"/>
    <w:basedOn w:val="Normal"/>
    <w:pPr>
      <w:spacing w:after="200"/>
    </w:pPr>
    <w:rPr>
      <w:b/>
      <w:sz w:val="18"/>
    </w:rPr>
  </w:style>
  <w:style w:type="paragraph" w:customStyle="1" w:styleId="Autor">
    <w:name w:val="Autor"/>
    <w:basedOn w:val="Normal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Formatvorlage%20Entscheidbesprech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77B0-63D3-49B3-A8D9-5EC6042B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Entscheidbesprechung.dot</Template>
  <TotalTime>0</TotalTime>
  <Pages>2</Pages>
  <Words>211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Formatvorlage Entscheidbesprechung</vt:lpstr>
      <vt:lpstr>Formatvorlage Entscheidbesprechung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Entscheidbesprechung</dc:title>
  <dc:subject/>
  <dc:creator>Administrator</dc:creator>
  <cp:keywords/>
  <dc:description/>
  <cp:lastModifiedBy>Maria Schuler</cp:lastModifiedBy>
  <cp:revision>10</cp:revision>
  <cp:lastPrinted>2008-04-12T13:44:00Z</cp:lastPrinted>
  <dcterms:created xsi:type="dcterms:W3CDTF">2024-04-23T09:58:00Z</dcterms:created>
  <dcterms:modified xsi:type="dcterms:W3CDTF">2024-08-26T08:22:00Z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61e897-4f28-44fc-b73f-b240633a8145_Enabled">
    <vt:lpwstr>true</vt:lpwstr>
  </property>
  <property fmtid="{D5CDD505-2E9C-101B-9397-08002B2CF9AE}" pid="3" name="MSIP_Label_7a61e897-4f28-44fc-b73f-b240633a8145_SetDate">
    <vt:lpwstr>2024-04-17T14:39:11Z</vt:lpwstr>
  </property>
  <property fmtid="{D5CDD505-2E9C-101B-9397-08002B2CF9AE}" pid="4" name="MSIP_Label_7a61e897-4f28-44fc-b73f-b240633a8145_Method">
    <vt:lpwstr>Standard</vt:lpwstr>
  </property>
  <property fmtid="{D5CDD505-2E9C-101B-9397-08002B2CF9AE}" pid="5" name="MSIP_Label_7a61e897-4f28-44fc-b73f-b240633a8145_Name">
    <vt:lpwstr>Not classified (confidential)</vt:lpwstr>
  </property>
  <property fmtid="{D5CDD505-2E9C-101B-9397-08002B2CF9AE}" pid="6" name="MSIP_Label_7a61e897-4f28-44fc-b73f-b240633a8145_SiteId">
    <vt:lpwstr>468fdde2-ee97-4ad8-bedd-99d9394a8ade</vt:lpwstr>
  </property>
  <property fmtid="{D5CDD505-2E9C-101B-9397-08002B2CF9AE}" pid="7" name="MSIP_Label_7a61e897-4f28-44fc-b73f-b240633a8145_ActionId">
    <vt:lpwstr>44838dc0-1297-4d2e-8290-0686b9f3711b</vt:lpwstr>
  </property>
  <property fmtid="{D5CDD505-2E9C-101B-9397-08002B2CF9AE}" pid="8" name="MSIP_Label_7a61e897-4f28-44fc-b73f-b240633a8145_ContentBits">
    <vt:lpwstr>0</vt:lpwstr>
  </property>
</Properties>
</file>